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B9546" w14:textId="6D58E300" w:rsidR="000206F3" w:rsidRPr="005E5160" w:rsidRDefault="00423021" w:rsidP="000206F3">
      <w:pPr>
        <w:rPr>
          <w:b/>
          <w:sz w:val="24"/>
          <w:szCs w:val="24"/>
          <w:lang w:val="de-DE"/>
        </w:rPr>
      </w:pPr>
      <w:r>
        <w:rPr>
          <w:b/>
          <w:sz w:val="24"/>
          <w:szCs w:val="24"/>
          <w:lang w:val="de-DE"/>
        </w:rPr>
        <w:t>Website 5.</w:t>
      </w:r>
      <w:r w:rsidR="002549FC">
        <w:rPr>
          <w:b/>
          <w:sz w:val="24"/>
          <w:szCs w:val="24"/>
          <w:lang w:val="de-DE"/>
        </w:rPr>
        <w:t>2</w:t>
      </w:r>
      <w:r w:rsidR="000206F3" w:rsidRPr="005E5160">
        <w:rPr>
          <w:b/>
          <w:sz w:val="24"/>
          <w:szCs w:val="24"/>
          <w:lang w:val="de-DE"/>
        </w:rPr>
        <w:t>: Checkliste Anforderungen von Kreditinstituten</w:t>
      </w:r>
      <w:r w:rsidR="00835D26">
        <w:rPr>
          <w:b/>
          <w:sz w:val="24"/>
          <w:szCs w:val="24"/>
          <w:lang w:val="de-DE"/>
        </w:rPr>
        <w:t xml:space="preserve"> an die Auswahl eines Sanierungsberaters</w:t>
      </w:r>
    </w:p>
    <w:p w14:paraId="483A45B1" w14:textId="77777777" w:rsidR="000206F3" w:rsidRPr="00B67944" w:rsidRDefault="000206F3" w:rsidP="000206F3">
      <w:pPr>
        <w:pStyle w:val="Listenabsatz"/>
        <w:spacing w:line="268" w:lineRule="auto"/>
        <w:ind w:left="0" w:right="395" w:firstLine="0"/>
        <w:jc w:val="left"/>
        <w:rPr>
          <w:b/>
          <w:w w:val="95"/>
          <w:sz w:val="24"/>
          <w:szCs w:val="24"/>
          <w:lang w:val="de-DE"/>
        </w:rPr>
      </w:pPr>
    </w:p>
    <w:p w14:paraId="7E907808" w14:textId="77777777" w:rsidR="000206F3" w:rsidRPr="00B67944" w:rsidRDefault="000206F3" w:rsidP="000206F3">
      <w:pPr>
        <w:pStyle w:val="Listenabsatz"/>
        <w:tabs>
          <w:tab w:val="left" w:pos="930"/>
        </w:tabs>
        <w:spacing w:line="268" w:lineRule="auto"/>
        <w:ind w:left="922" w:right="395" w:firstLine="0"/>
        <w:jc w:val="center"/>
        <w:rPr>
          <w:w w:val="95"/>
          <w:sz w:val="21"/>
          <w:lang w:val="de-DE"/>
        </w:rPr>
      </w:pPr>
    </w:p>
    <w:p w14:paraId="0759B7DB" w14:textId="77777777" w:rsidR="000206F3" w:rsidRPr="005E5160" w:rsidRDefault="000206F3" w:rsidP="000206F3">
      <w:pPr>
        <w:pStyle w:val="Listenabsatz"/>
        <w:keepNext/>
        <w:keepLines/>
        <w:widowControl/>
        <w:spacing w:after="160"/>
        <w:ind w:left="0" w:right="397" w:firstLine="0"/>
        <w:rPr>
          <w:b/>
          <w:sz w:val="24"/>
          <w:szCs w:val="24"/>
          <w:lang w:val="de-DE"/>
        </w:rPr>
      </w:pPr>
      <w:r w:rsidRPr="005E5160">
        <w:rPr>
          <w:b/>
          <w:sz w:val="24"/>
          <w:szCs w:val="24"/>
          <w:lang w:val="de-DE"/>
        </w:rPr>
        <w:t>Vorbemerkung:</w:t>
      </w:r>
    </w:p>
    <w:p w14:paraId="17EF043C" w14:textId="77777777" w:rsidR="000206F3" w:rsidRPr="005E5160" w:rsidRDefault="000206F3" w:rsidP="000206F3">
      <w:pPr>
        <w:tabs>
          <w:tab w:val="left" w:leader="underscore" w:pos="7380"/>
        </w:tabs>
        <w:spacing w:after="160"/>
        <w:jc w:val="both"/>
        <w:rPr>
          <w:spacing w:val="5"/>
          <w:sz w:val="24"/>
          <w:szCs w:val="24"/>
          <w:lang w:val="de-DE"/>
        </w:rPr>
      </w:pPr>
      <w:r w:rsidRPr="005E5160">
        <w:rPr>
          <w:spacing w:val="5"/>
          <w:sz w:val="24"/>
          <w:szCs w:val="24"/>
          <w:lang w:val="de-DE"/>
        </w:rPr>
        <w:t>Nachstehende Grundsätze wurden aus Praxiserfahrung</w:t>
      </w:r>
      <w:r w:rsidR="00CA584E">
        <w:rPr>
          <w:spacing w:val="5"/>
          <w:sz w:val="24"/>
          <w:szCs w:val="24"/>
          <w:lang w:val="de-DE"/>
        </w:rPr>
        <w:t xml:space="preserve">en sowie Gesprächen mit Leitern und </w:t>
      </w:r>
      <w:r w:rsidRPr="005E5160">
        <w:rPr>
          <w:spacing w:val="5"/>
          <w:sz w:val="24"/>
          <w:szCs w:val="24"/>
          <w:lang w:val="de-DE"/>
        </w:rPr>
        <w:t>Mitarbeitern der Sanierungs</w:t>
      </w:r>
      <w:r w:rsidR="00CA584E">
        <w:rPr>
          <w:spacing w:val="5"/>
          <w:sz w:val="24"/>
          <w:szCs w:val="24"/>
          <w:lang w:val="de-DE"/>
        </w:rPr>
        <w:t>- und Rechts</w:t>
      </w:r>
      <w:r w:rsidRPr="005E5160">
        <w:rPr>
          <w:spacing w:val="5"/>
          <w:sz w:val="24"/>
          <w:szCs w:val="24"/>
          <w:lang w:val="de-DE"/>
        </w:rPr>
        <w:t xml:space="preserve">abteilungen </w:t>
      </w:r>
      <w:r w:rsidR="00CA584E">
        <w:rPr>
          <w:spacing w:val="5"/>
          <w:sz w:val="24"/>
          <w:szCs w:val="24"/>
          <w:lang w:val="de-DE"/>
        </w:rPr>
        <w:t>d</w:t>
      </w:r>
      <w:r w:rsidRPr="005E5160">
        <w:rPr>
          <w:spacing w:val="5"/>
          <w:sz w:val="24"/>
          <w:szCs w:val="24"/>
          <w:lang w:val="de-DE"/>
        </w:rPr>
        <w:t>eutscher Geschäftsbanken zusammengetragen.</w:t>
      </w:r>
    </w:p>
    <w:p w14:paraId="478223B3" w14:textId="61B369C1" w:rsidR="000206F3" w:rsidRPr="005E5160" w:rsidRDefault="000206F3" w:rsidP="000206F3">
      <w:pPr>
        <w:tabs>
          <w:tab w:val="left" w:leader="underscore" w:pos="7380"/>
        </w:tabs>
        <w:spacing w:after="160"/>
        <w:jc w:val="both"/>
        <w:rPr>
          <w:spacing w:val="5"/>
          <w:sz w:val="24"/>
          <w:szCs w:val="24"/>
          <w:lang w:val="de-DE"/>
        </w:rPr>
      </w:pPr>
      <w:r w:rsidRPr="005E5160">
        <w:rPr>
          <w:spacing w:val="5"/>
          <w:sz w:val="24"/>
          <w:szCs w:val="24"/>
          <w:lang w:val="de-DE"/>
        </w:rPr>
        <w:t>Diese allgemeinen Grundsätze gelten entsprechend</w:t>
      </w:r>
      <w:r w:rsidRPr="000206F3">
        <w:rPr>
          <w:spacing w:val="5"/>
          <w:lang w:val="de-DE"/>
        </w:rPr>
        <w:t xml:space="preserve"> für (restrukturierungsnahe) </w:t>
      </w:r>
      <w:proofErr w:type="spellStart"/>
      <w:r w:rsidRPr="000206F3">
        <w:rPr>
          <w:spacing w:val="5"/>
          <w:lang w:val="de-DE"/>
        </w:rPr>
        <w:t>Pla</w:t>
      </w:r>
      <w:r w:rsidRPr="005E5160">
        <w:rPr>
          <w:spacing w:val="5"/>
          <w:sz w:val="24"/>
          <w:szCs w:val="24"/>
          <w:lang w:val="de-DE"/>
        </w:rPr>
        <w:t>nungsplausibilisierungen</w:t>
      </w:r>
      <w:proofErr w:type="spellEnd"/>
      <w:r w:rsidRPr="005E5160">
        <w:rPr>
          <w:spacing w:val="5"/>
          <w:sz w:val="24"/>
          <w:szCs w:val="24"/>
          <w:lang w:val="de-DE"/>
        </w:rPr>
        <w:t>, Independent Business Reviews</w:t>
      </w:r>
      <w:r w:rsidR="00BA652D">
        <w:rPr>
          <w:spacing w:val="5"/>
          <w:sz w:val="24"/>
          <w:szCs w:val="24"/>
          <w:lang w:val="de-DE"/>
        </w:rPr>
        <w:t xml:space="preserve"> (IBR)</w:t>
      </w:r>
      <w:r w:rsidRPr="005E5160">
        <w:rPr>
          <w:spacing w:val="5"/>
          <w:sz w:val="24"/>
          <w:szCs w:val="24"/>
          <w:lang w:val="de-DE"/>
        </w:rPr>
        <w:t>, u.a., wenn die Ergebnisse der Untersuchungen in eine Kreditentschei</w:t>
      </w:r>
      <w:r w:rsidR="00CA584E">
        <w:rPr>
          <w:spacing w:val="5"/>
          <w:sz w:val="24"/>
          <w:szCs w:val="24"/>
          <w:lang w:val="de-DE"/>
        </w:rPr>
        <w:t xml:space="preserve">dung der Kreditgeber als Feststellung oder </w:t>
      </w:r>
      <w:r w:rsidRPr="005E5160">
        <w:rPr>
          <w:spacing w:val="5"/>
          <w:sz w:val="24"/>
          <w:szCs w:val="24"/>
          <w:lang w:val="de-DE"/>
        </w:rPr>
        <w:t>Meinung eines unabhängigen branchenkundigen Experten einfließen sollen.</w:t>
      </w:r>
    </w:p>
    <w:p w14:paraId="66A062D1" w14:textId="77777777" w:rsidR="000206F3" w:rsidRPr="00B67944" w:rsidRDefault="000206F3" w:rsidP="000206F3">
      <w:pPr>
        <w:spacing w:before="195"/>
        <w:ind w:left="157" w:right="261"/>
        <w:rPr>
          <w:b/>
          <w:w w:val="80"/>
          <w:sz w:val="24"/>
          <w:szCs w:val="24"/>
          <w:lang w:val="de-DE"/>
        </w:rPr>
      </w:pPr>
    </w:p>
    <w:p w14:paraId="31FBCF22" w14:textId="77777777" w:rsidR="000206F3" w:rsidRPr="005E5160" w:rsidRDefault="000206F3" w:rsidP="000206F3">
      <w:pPr>
        <w:pStyle w:val="Listenabsatz"/>
        <w:keepNext/>
        <w:keepLines/>
        <w:widowControl/>
        <w:spacing w:after="160"/>
        <w:ind w:left="0" w:right="397" w:firstLine="0"/>
        <w:rPr>
          <w:b/>
          <w:sz w:val="24"/>
          <w:szCs w:val="24"/>
          <w:lang w:val="de-DE"/>
        </w:rPr>
      </w:pPr>
      <w:r w:rsidRPr="005E5160">
        <w:rPr>
          <w:b/>
          <w:sz w:val="24"/>
          <w:szCs w:val="24"/>
          <w:lang w:val="de-DE"/>
        </w:rPr>
        <w:t>Anforderungen an den Gutachter/Konzeptersteller:</w:t>
      </w:r>
    </w:p>
    <w:p w14:paraId="244611B6" w14:textId="77777777" w:rsidR="00CA584E" w:rsidRPr="00CA584E" w:rsidRDefault="00CA584E" w:rsidP="00CA584E">
      <w:pPr>
        <w:pStyle w:val="Listenabsatz"/>
        <w:numPr>
          <w:ilvl w:val="0"/>
          <w:numId w:val="6"/>
        </w:numPr>
        <w:tabs>
          <w:tab w:val="left" w:leader="underscore" w:pos="7380"/>
        </w:tabs>
        <w:spacing w:after="160"/>
        <w:rPr>
          <w:spacing w:val="5"/>
          <w:sz w:val="24"/>
          <w:szCs w:val="24"/>
          <w:lang w:val="de-DE"/>
        </w:rPr>
      </w:pPr>
      <w:r w:rsidRPr="00CA584E">
        <w:rPr>
          <w:spacing w:val="5"/>
          <w:sz w:val="24"/>
          <w:szCs w:val="24"/>
          <w:lang w:val="de-DE"/>
        </w:rPr>
        <w:t>In der Regel werden dem Kreditnehmer durch die Finanzierer mehrere aus Sicht der Finanzierer geeignete, unabhängige Berater vorgeschlagen. Wählt der Kreditnehmer einen anderen Gutachter/Konzeptersteller aus, sollte zwingend vor Auftragsannahme durch den</w:t>
      </w:r>
      <w:r>
        <w:rPr>
          <w:spacing w:val="5"/>
          <w:sz w:val="24"/>
          <w:szCs w:val="24"/>
          <w:lang w:val="de-DE"/>
        </w:rPr>
        <w:t xml:space="preserve"> Auftraggeber und</w:t>
      </w:r>
      <w:r w:rsidRPr="00CA584E">
        <w:rPr>
          <w:spacing w:val="5"/>
          <w:sz w:val="24"/>
          <w:szCs w:val="24"/>
          <w:lang w:val="de-DE"/>
        </w:rPr>
        <w:t xml:space="preserve"> Berater Kontakt mit den Finanzierern aufgenommen werden, um deren Akzeptanz und Zustimmun</w:t>
      </w:r>
      <w:r>
        <w:rPr>
          <w:spacing w:val="5"/>
          <w:sz w:val="24"/>
          <w:szCs w:val="24"/>
          <w:lang w:val="de-DE"/>
        </w:rPr>
        <w:t>g zur Beraterauswahl einzuholen</w:t>
      </w:r>
    </w:p>
    <w:p w14:paraId="2F223C19" w14:textId="77777777" w:rsidR="00CA584E" w:rsidRPr="00CA584E" w:rsidRDefault="000206F3" w:rsidP="00CA584E">
      <w:pPr>
        <w:pStyle w:val="Listenabsatz"/>
        <w:widowControl/>
        <w:numPr>
          <w:ilvl w:val="0"/>
          <w:numId w:val="6"/>
        </w:numPr>
        <w:tabs>
          <w:tab w:val="left" w:leader="underscore" w:pos="7380"/>
        </w:tabs>
        <w:spacing w:after="160"/>
        <w:ind w:left="714" w:hanging="357"/>
        <w:rPr>
          <w:spacing w:val="5"/>
          <w:sz w:val="24"/>
          <w:szCs w:val="24"/>
          <w:lang w:val="de-DE"/>
        </w:rPr>
      </w:pPr>
      <w:r w:rsidRPr="00CA584E">
        <w:rPr>
          <w:spacing w:val="5"/>
          <w:sz w:val="24"/>
          <w:szCs w:val="24"/>
          <w:lang w:val="de-DE"/>
        </w:rPr>
        <w:t>Beauftragung einer aus Sicht</w:t>
      </w:r>
      <w:r w:rsidR="00CA584E" w:rsidRPr="00CA584E">
        <w:rPr>
          <w:spacing w:val="5"/>
          <w:sz w:val="24"/>
          <w:szCs w:val="24"/>
          <w:lang w:val="de-DE"/>
        </w:rPr>
        <w:t xml:space="preserve"> der Kreditinstitute</w:t>
      </w:r>
      <w:r w:rsidRPr="00CA584E">
        <w:rPr>
          <w:spacing w:val="5"/>
          <w:sz w:val="24"/>
          <w:szCs w:val="24"/>
          <w:lang w:val="de-DE"/>
        </w:rPr>
        <w:t xml:space="preserve"> geeigneten, branchenkundigen und unabhängigen Unternehmensberatung oder Wirtschaftsprüfungsgesellschaft</w:t>
      </w:r>
    </w:p>
    <w:p w14:paraId="4F6861C6" w14:textId="77777777" w:rsidR="000206F3" w:rsidRPr="00CA584E" w:rsidRDefault="00CA584E" w:rsidP="00CA584E">
      <w:pPr>
        <w:pStyle w:val="Listenabsatz"/>
        <w:numPr>
          <w:ilvl w:val="0"/>
          <w:numId w:val="6"/>
        </w:numPr>
        <w:spacing w:after="160"/>
        <w:ind w:right="397"/>
        <w:rPr>
          <w:spacing w:val="5"/>
          <w:sz w:val="24"/>
          <w:szCs w:val="24"/>
          <w:lang w:val="de-DE"/>
        </w:rPr>
      </w:pPr>
      <w:r w:rsidRPr="005E5160">
        <w:rPr>
          <w:spacing w:val="5"/>
          <w:sz w:val="24"/>
          <w:szCs w:val="24"/>
          <w:lang w:val="de-DE"/>
        </w:rPr>
        <w:t xml:space="preserve">Hinweis des Beraters an den Kunden im Rahmen der Auftragsanbahnung, dass Inhalte der Analysen und des Gutachtens bzw. des Sanierungskonzepts (Auftragsinhalt, Auftragsumfang) im Detail und im Vorfeld auch mit den involvierten </w:t>
      </w:r>
      <w:r>
        <w:rPr>
          <w:spacing w:val="5"/>
          <w:sz w:val="24"/>
          <w:szCs w:val="24"/>
          <w:lang w:val="de-DE"/>
        </w:rPr>
        <w:t>Kreditinstituten abzustimmen sind</w:t>
      </w:r>
      <w:r w:rsidR="000206F3" w:rsidRPr="00CA584E">
        <w:rPr>
          <w:spacing w:val="5"/>
          <w:lang w:val="de-DE"/>
        </w:rPr>
        <w:t xml:space="preserve"> </w:t>
      </w:r>
    </w:p>
    <w:p w14:paraId="727BC8D6" w14:textId="77777777" w:rsidR="000206F3" w:rsidRPr="00B67944" w:rsidRDefault="000206F3" w:rsidP="000206F3">
      <w:pPr>
        <w:pStyle w:val="Listenabsatz"/>
        <w:ind w:left="0" w:right="395" w:firstLine="0"/>
        <w:rPr>
          <w:w w:val="95"/>
          <w:sz w:val="24"/>
          <w:szCs w:val="24"/>
          <w:lang w:val="de-DE"/>
        </w:rPr>
      </w:pPr>
    </w:p>
    <w:p w14:paraId="11D4A6C4" w14:textId="77777777" w:rsidR="000206F3" w:rsidRPr="005E5160" w:rsidRDefault="000206F3" w:rsidP="000206F3">
      <w:pPr>
        <w:pStyle w:val="Listenabsatz"/>
        <w:keepNext/>
        <w:keepLines/>
        <w:widowControl/>
        <w:spacing w:after="160"/>
        <w:ind w:left="0" w:right="397" w:firstLine="0"/>
        <w:rPr>
          <w:b/>
          <w:sz w:val="24"/>
          <w:szCs w:val="24"/>
          <w:lang w:val="de-DE"/>
        </w:rPr>
      </w:pPr>
      <w:r w:rsidRPr="005E5160">
        <w:rPr>
          <w:b/>
          <w:sz w:val="24"/>
          <w:szCs w:val="24"/>
          <w:lang w:val="de-DE"/>
        </w:rPr>
        <w:t>Anforderungen an den Inhalt des Gutachtens:</w:t>
      </w:r>
    </w:p>
    <w:p w14:paraId="260E6BC5"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Zwingende Berücksichtigung der erkennbaren Mindestanforderungen an Sanierungskonzepte auf Basis der jeweils gültigen Rechts</w:t>
      </w:r>
      <w:r w:rsidR="00CA584E">
        <w:rPr>
          <w:spacing w:val="5"/>
          <w:sz w:val="24"/>
          <w:szCs w:val="24"/>
          <w:lang w:val="de-DE"/>
        </w:rPr>
        <w:t>prechung des BGH, insbesondere Berücksichtigung folgender Leitsätze:</w:t>
      </w:r>
    </w:p>
    <w:p w14:paraId="124931BF" w14:textId="77777777" w:rsidR="00CA584E" w:rsidRDefault="00CA584E" w:rsidP="000206F3">
      <w:pPr>
        <w:pStyle w:val="Listenabsatz"/>
        <w:numPr>
          <w:ilvl w:val="0"/>
          <w:numId w:val="4"/>
        </w:numPr>
        <w:spacing w:after="160"/>
        <w:ind w:left="1276" w:right="397"/>
        <w:rPr>
          <w:spacing w:val="5"/>
          <w:sz w:val="24"/>
          <w:szCs w:val="24"/>
          <w:lang w:val="de-DE"/>
        </w:rPr>
      </w:pPr>
      <w:r w:rsidRPr="00CA584E">
        <w:rPr>
          <w:spacing w:val="5"/>
          <w:sz w:val="24"/>
          <w:szCs w:val="24"/>
          <w:lang w:val="de-DE"/>
        </w:rPr>
        <w:t>Das Sanierungsgutachten geht von den erkannten und erkennbaren tatsächlichen Gegebenheiten des Unternehmens aus und ist durchführbar. Dabei ist sowohl für die Frage der Erkennbarkeit der Ausgangslage als auch für die Prognose der Durchführbarkeit auf die Beurteilung eines unvoreingenommenen nicht notwendigerweise unbeteiligten, branchenkundigen Wi</w:t>
      </w:r>
      <w:r>
        <w:rPr>
          <w:spacing w:val="5"/>
          <w:sz w:val="24"/>
          <w:szCs w:val="24"/>
          <w:lang w:val="de-DE"/>
        </w:rPr>
        <w:t>rtschaftsfachmanns abzustellen</w:t>
      </w:r>
      <w:r>
        <w:rPr>
          <w:rStyle w:val="Endnotenzeichen"/>
          <w:spacing w:val="5"/>
          <w:sz w:val="24"/>
          <w:szCs w:val="24"/>
          <w:lang w:val="de-DE"/>
        </w:rPr>
        <w:endnoteReference w:id="1"/>
      </w:r>
    </w:p>
    <w:p w14:paraId="1D062350" w14:textId="77777777" w:rsidR="000206F3" w:rsidRPr="005E5160" w:rsidRDefault="000206F3" w:rsidP="000206F3">
      <w:pPr>
        <w:pStyle w:val="Listenabsatz"/>
        <w:numPr>
          <w:ilvl w:val="0"/>
          <w:numId w:val="4"/>
        </w:numPr>
        <w:spacing w:after="160"/>
        <w:ind w:left="1276" w:right="397"/>
        <w:rPr>
          <w:spacing w:val="5"/>
          <w:sz w:val="24"/>
          <w:szCs w:val="24"/>
          <w:lang w:val="de-DE"/>
        </w:rPr>
      </w:pPr>
      <w:r w:rsidRPr="005E5160">
        <w:rPr>
          <w:spacing w:val="5"/>
          <w:sz w:val="24"/>
          <w:szCs w:val="24"/>
          <w:lang w:val="de-DE"/>
        </w:rPr>
        <w:t>Dem unabhängigen branchenkundigen Wirtschaftsfachmann sind die erforderlichen Buchhaltungsunterlagen des Unternehmens vorzulegen</w:t>
      </w:r>
      <w:r w:rsidR="00CA584E">
        <w:rPr>
          <w:rStyle w:val="Endnotenzeichen"/>
          <w:spacing w:val="5"/>
          <w:sz w:val="24"/>
          <w:szCs w:val="24"/>
          <w:lang w:val="de-DE"/>
        </w:rPr>
        <w:endnoteReference w:id="2"/>
      </w:r>
    </w:p>
    <w:p w14:paraId="0F856D03" w14:textId="77777777" w:rsidR="000206F3" w:rsidRPr="005E5160" w:rsidRDefault="000206F3" w:rsidP="000206F3">
      <w:pPr>
        <w:pStyle w:val="Listenabsatz"/>
        <w:numPr>
          <w:ilvl w:val="0"/>
          <w:numId w:val="4"/>
        </w:numPr>
        <w:spacing w:after="160"/>
        <w:ind w:left="1276" w:right="397"/>
        <w:rPr>
          <w:spacing w:val="5"/>
          <w:sz w:val="24"/>
          <w:szCs w:val="24"/>
          <w:lang w:val="de-DE"/>
        </w:rPr>
      </w:pPr>
      <w:r w:rsidRPr="005E5160">
        <w:rPr>
          <w:spacing w:val="5"/>
          <w:sz w:val="24"/>
          <w:szCs w:val="24"/>
          <w:lang w:val="de-DE"/>
        </w:rPr>
        <w:lastRenderedPageBreak/>
        <w:t>Das Sanierungsgutachten enthält eine Analyse der wirtschaftlichen Lage des Unternehmens im Rahmen seiner Wirtschaftsbranche und erfasst die Krisenursachen</w:t>
      </w:r>
      <w:r w:rsidR="00CA584E">
        <w:rPr>
          <w:rStyle w:val="Endnotenzeichen"/>
          <w:spacing w:val="5"/>
          <w:sz w:val="24"/>
          <w:szCs w:val="24"/>
          <w:lang w:val="de-DE"/>
        </w:rPr>
        <w:endnoteReference w:id="3"/>
      </w:r>
    </w:p>
    <w:p w14:paraId="0CB3C15E" w14:textId="77777777" w:rsidR="000206F3" w:rsidRPr="005E5160" w:rsidRDefault="000206F3" w:rsidP="000206F3">
      <w:pPr>
        <w:pStyle w:val="Listenabsatz"/>
        <w:numPr>
          <w:ilvl w:val="0"/>
          <w:numId w:val="4"/>
        </w:numPr>
        <w:spacing w:after="160"/>
        <w:ind w:left="1276" w:right="397"/>
        <w:rPr>
          <w:spacing w:val="5"/>
          <w:sz w:val="24"/>
          <w:szCs w:val="24"/>
          <w:lang w:val="de-DE"/>
        </w:rPr>
      </w:pPr>
      <w:r w:rsidRPr="005E5160">
        <w:rPr>
          <w:spacing w:val="5"/>
          <w:sz w:val="24"/>
          <w:szCs w:val="24"/>
          <w:lang w:val="de-DE"/>
        </w:rPr>
        <w:t>Das Sanierungsgutachten beurteilt die Vermögens-, Ertrags- und Finanzlage des Unternehmens zutreffend</w:t>
      </w:r>
      <w:r w:rsidR="00CA584E">
        <w:rPr>
          <w:rStyle w:val="Endnotenzeichen"/>
          <w:spacing w:val="5"/>
          <w:sz w:val="24"/>
          <w:szCs w:val="24"/>
          <w:lang w:val="de-DE"/>
        </w:rPr>
        <w:endnoteReference w:id="4"/>
      </w:r>
    </w:p>
    <w:p w14:paraId="670DEC3E" w14:textId="77777777" w:rsidR="000206F3" w:rsidRPr="005E5160" w:rsidRDefault="000206F3" w:rsidP="000206F3">
      <w:pPr>
        <w:pStyle w:val="Listenabsatz"/>
        <w:numPr>
          <w:ilvl w:val="0"/>
          <w:numId w:val="4"/>
        </w:numPr>
        <w:spacing w:after="160"/>
        <w:ind w:left="1276" w:right="397"/>
        <w:rPr>
          <w:spacing w:val="5"/>
          <w:sz w:val="24"/>
          <w:szCs w:val="24"/>
          <w:lang w:val="de-DE"/>
        </w:rPr>
      </w:pPr>
      <w:r w:rsidRPr="005E5160">
        <w:rPr>
          <w:spacing w:val="5"/>
          <w:sz w:val="24"/>
          <w:szCs w:val="24"/>
          <w:lang w:val="de-DE"/>
        </w:rPr>
        <w:t>Das Sanierungsgutachten muss darlegen, ob das Unternehmen objektiv sanierungsfähig ist und ob die für seine Sanierung konkret in Angriff genommenen Maßnahmen insgesamt objektiv geeignet sind, das Unternehmen in überschaubarer Zeit durchgreifend zu sanieren</w:t>
      </w:r>
      <w:r w:rsidR="00CA584E">
        <w:rPr>
          <w:rStyle w:val="Endnotenzeichen"/>
          <w:spacing w:val="5"/>
          <w:sz w:val="24"/>
          <w:szCs w:val="24"/>
          <w:lang w:val="de-DE"/>
        </w:rPr>
        <w:endnoteReference w:id="5"/>
      </w:r>
    </w:p>
    <w:p w14:paraId="1C2CF01A" w14:textId="77777777" w:rsidR="000206F3" w:rsidRPr="005E5160" w:rsidRDefault="000206F3" w:rsidP="000206F3">
      <w:pPr>
        <w:pStyle w:val="Listenabsatz"/>
        <w:numPr>
          <w:ilvl w:val="0"/>
          <w:numId w:val="4"/>
        </w:numPr>
        <w:spacing w:after="160"/>
        <w:ind w:left="1276" w:right="397"/>
        <w:rPr>
          <w:spacing w:val="5"/>
          <w:sz w:val="24"/>
          <w:szCs w:val="24"/>
          <w:lang w:val="de-DE"/>
        </w:rPr>
      </w:pPr>
      <w:r w:rsidRPr="005E5160">
        <w:rPr>
          <w:spacing w:val="5"/>
          <w:sz w:val="24"/>
          <w:szCs w:val="24"/>
          <w:lang w:val="de-DE"/>
        </w:rPr>
        <w:t>Das Sanierungsgutachten muss darlegen, ob die geplanten Sanierungsmaßnahmen zumindest in den Anfängen schon umgesetzt sind, d.h. die Sanierungsaktivitäten objektiv sachgerecht eingeleitet wurden</w:t>
      </w:r>
      <w:r w:rsidR="00CA584E">
        <w:rPr>
          <w:rStyle w:val="Endnotenzeichen"/>
          <w:spacing w:val="5"/>
          <w:sz w:val="24"/>
          <w:szCs w:val="24"/>
          <w:lang w:val="de-DE"/>
        </w:rPr>
        <w:endnoteReference w:id="6"/>
      </w:r>
    </w:p>
    <w:p w14:paraId="0303C64D"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Das Sanierungsgutachten soll als Ergebnis eine eindeutige Aussage zur Sanierungsfähigkeit entha</w:t>
      </w:r>
      <w:r w:rsidR="000033B0">
        <w:rPr>
          <w:spacing w:val="5"/>
          <w:sz w:val="24"/>
          <w:szCs w:val="24"/>
          <w:lang w:val="de-DE"/>
        </w:rPr>
        <w:t>lten, Orientierung an Musterformulierung</w:t>
      </w:r>
      <w:r w:rsidRPr="005E5160">
        <w:rPr>
          <w:spacing w:val="5"/>
          <w:sz w:val="24"/>
          <w:szCs w:val="24"/>
          <w:lang w:val="de-DE"/>
        </w:rPr>
        <w:t xml:space="preserve"> IDW S 6</w:t>
      </w:r>
      <w:r w:rsidR="00CA584E">
        <w:rPr>
          <w:rStyle w:val="Endnotenzeichen"/>
          <w:spacing w:val="5"/>
          <w:sz w:val="24"/>
          <w:szCs w:val="24"/>
          <w:lang w:val="de-DE"/>
        </w:rPr>
        <w:endnoteReference w:id="7"/>
      </w:r>
    </w:p>
    <w:p w14:paraId="42DB3BEF" w14:textId="4C9ED950"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Abhängig vom jeweiligen Einzelfall, Berücksichtigung der Anforderungen an die Erstellung von Sanierungskonzepten des Instituts der Wirtschaftsprüfer (IDW S 6)</w:t>
      </w:r>
      <w:r w:rsidR="00BA652D">
        <w:rPr>
          <w:spacing w:val="5"/>
          <w:sz w:val="24"/>
          <w:szCs w:val="24"/>
          <w:lang w:val="de-DE"/>
        </w:rPr>
        <w:t xml:space="preserve"> gemäß aktuellster Fassung</w:t>
      </w:r>
      <w:r w:rsidRPr="005E5160">
        <w:rPr>
          <w:spacing w:val="5"/>
          <w:sz w:val="24"/>
          <w:szCs w:val="24"/>
          <w:lang w:val="de-DE"/>
        </w:rPr>
        <w:t xml:space="preserve"> </w:t>
      </w:r>
    </w:p>
    <w:p w14:paraId="6F970FFF"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Durchführung eigener Prüfungs- und Plausibilisieru</w:t>
      </w:r>
      <w:r w:rsidR="000033B0">
        <w:rPr>
          <w:spacing w:val="5"/>
          <w:sz w:val="24"/>
          <w:szCs w:val="24"/>
          <w:lang w:val="de-DE"/>
        </w:rPr>
        <w:t>ngshandlungen durch den Konzeptersteller</w:t>
      </w:r>
      <w:r w:rsidRPr="005E5160">
        <w:rPr>
          <w:spacing w:val="5"/>
          <w:sz w:val="24"/>
          <w:szCs w:val="24"/>
          <w:lang w:val="de-DE"/>
        </w:rPr>
        <w:t xml:space="preserve"> sowie deren Dokumentation</w:t>
      </w:r>
    </w:p>
    <w:p w14:paraId="114DA81E"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Keine ungeprüfte Übernahme von Daten und Angaben des Krisenunternehmens</w:t>
      </w:r>
      <w:r w:rsidR="000033B0">
        <w:rPr>
          <w:spacing w:val="5"/>
          <w:sz w:val="24"/>
          <w:szCs w:val="24"/>
          <w:lang w:val="de-DE"/>
        </w:rPr>
        <w:t xml:space="preserve"> durch den Konzeptersteller</w:t>
      </w:r>
    </w:p>
    <w:p w14:paraId="6B3751C0" w14:textId="77777777" w:rsidR="000206F3" w:rsidRPr="00B67944" w:rsidRDefault="000206F3" w:rsidP="000206F3">
      <w:pPr>
        <w:pStyle w:val="Listenabsatz"/>
        <w:ind w:left="720" w:right="395" w:firstLine="0"/>
        <w:rPr>
          <w:w w:val="95"/>
          <w:sz w:val="24"/>
          <w:szCs w:val="24"/>
          <w:lang w:val="de-DE"/>
        </w:rPr>
      </w:pPr>
    </w:p>
    <w:p w14:paraId="44481E32" w14:textId="77777777" w:rsidR="000206F3" w:rsidRPr="005E5160" w:rsidRDefault="000206F3" w:rsidP="000206F3">
      <w:pPr>
        <w:pStyle w:val="Listenabsatz"/>
        <w:keepNext/>
        <w:keepLines/>
        <w:widowControl/>
        <w:spacing w:after="160"/>
        <w:ind w:left="0" w:right="397" w:firstLine="0"/>
        <w:rPr>
          <w:b/>
          <w:sz w:val="24"/>
          <w:szCs w:val="24"/>
          <w:lang w:val="de-DE"/>
        </w:rPr>
      </w:pPr>
      <w:r w:rsidRPr="005E5160">
        <w:rPr>
          <w:b/>
          <w:sz w:val="24"/>
          <w:szCs w:val="24"/>
          <w:lang w:val="de-DE"/>
        </w:rPr>
        <w:t>Verschwiegenheit</w:t>
      </w:r>
    </w:p>
    <w:p w14:paraId="1DBB504A"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 xml:space="preserve">Vereinbarung der Entbindung des Gutachters/Konzepterstellers von der Verschwiegenheit gegenüber den Kreditgebern bereits bei Auftragsannahme </w:t>
      </w:r>
    </w:p>
    <w:p w14:paraId="3603DE7B" w14:textId="77777777" w:rsidR="000206F3" w:rsidRPr="00B67944" w:rsidRDefault="000206F3" w:rsidP="000206F3">
      <w:pPr>
        <w:pStyle w:val="Listenabsatz"/>
        <w:keepNext/>
        <w:keepLines/>
        <w:widowControl/>
        <w:ind w:left="0" w:right="397" w:firstLine="0"/>
        <w:rPr>
          <w:b/>
          <w:w w:val="95"/>
          <w:sz w:val="24"/>
          <w:szCs w:val="24"/>
          <w:lang w:val="de-DE"/>
        </w:rPr>
      </w:pPr>
    </w:p>
    <w:p w14:paraId="4D7AE5FB" w14:textId="77777777" w:rsidR="000206F3" w:rsidRPr="005E5160" w:rsidRDefault="000206F3" w:rsidP="000206F3">
      <w:pPr>
        <w:pStyle w:val="Listenabsatz"/>
        <w:keepNext/>
        <w:keepLines/>
        <w:widowControl/>
        <w:spacing w:after="160"/>
        <w:ind w:left="0" w:right="397" w:firstLine="0"/>
        <w:rPr>
          <w:b/>
          <w:sz w:val="24"/>
          <w:szCs w:val="24"/>
          <w:lang w:val="de-DE"/>
        </w:rPr>
      </w:pPr>
      <w:r w:rsidRPr="005E5160">
        <w:rPr>
          <w:b/>
          <w:sz w:val="24"/>
          <w:szCs w:val="24"/>
          <w:lang w:val="de-DE"/>
        </w:rPr>
        <w:t>Haftung</w:t>
      </w:r>
    </w:p>
    <w:p w14:paraId="7ED5AB17"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Aufnahme der Kred</w:t>
      </w:r>
      <w:r w:rsidR="000033B0">
        <w:rPr>
          <w:spacing w:val="5"/>
          <w:sz w:val="24"/>
          <w:szCs w:val="24"/>
          <w:lang w:val="de-DE"/>
        </w:rPr>
        <w:t>itgeber in den Schutzbereich der Mandatsvereinbarung</w:t>
      </w:r>
      <w:r w:rsidRPr="005E5160">
        <w:rPr>
          <w:spacing w:val="5"/>
          <w:sz w:val="24"/>
          <w:szCs w:val="24"/>
          <w:lang w:val="de-DE"/>
        </w:rPr>
        <w:t xml:space="preserve"> mit dem Krisenunternehmen, ohne dass die Kreditinstitute hierbei Vertragspartner werden </w:t>
      </w:r>
    </w:p>
    <w:p w14:paraId="66119A8C"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Mögliche Haftungsbegrenzungen des Gutachters/Konzepterstellers müssen in einem angemessenen Verhältnis zum Gesamtkreditvolumen</w:t>
      </w:r>
      <w:r w:rsidR="000033B0">
        <w:rPr>
          <w:spacing w:val="5"/>
          <w:sz w:val="24"/>
          <w:szCs w:val="24"/>
          <w:lang w:val="de-DE"/>
        </w:rPr>
        <w:t xml:space="preserve"> und Risiko</w:t>
      </w:r>
      <w:r w:rsidRPr="005E5160">
        <w:rPr>
          <w:spacing w:val="5"/>
          <w:sz w:val="24"/>
          <w:szCs w:val="24"/>
          <w:lang w:val="de-DE"/>
        </w:rPr>
        <w:t xml:space="preserve"> der involvierten Kreditgeber stehen</w:t>
      </w:r>
    </w:p>
    <w:p w14:paraId="4C62DD2D" w14:textId="77777777" w:rsidR="000206F3" w:rsidRPr="005E5160" w:rsidRDefault="000206F3" w:rsidP="000206F3">
      <w:pPr>
        <w:pStyle w:val="Listenabsatz"/>
        <w:numPr>
          <w:ilvl w:val="0"/>
          <w:numId w:val="3"/>
        </w:numPr>
        <w:spacing w:after="160"/>
        <w:ind w:right="397"/>
        <w:rPr>
          <w:spacing w:val="5"/>
          <w:sz w:val="24"/>
          <w:szCs w:val="24"/>
          <w:lang w:val="de-DE"/>
        </w:rPr>
      </w:pPr>
      <w:r w:rsidRPr="005E5160">
        <w:rPr>
          <w:spacing w:val="5"/>
          <w:sz w:val="24"/>
          <w:szCs w:val="24"/>
          <w:lang w:val="de-DE"/>
        </w:rPr>
        <w:t>Die in den Allgemeinen Auftragsbedingungen (AAB) für Wirtschaftsprüfer und Wirtschaftsprüfungsgesellschaften genannte Summe von derzeit EUR 4,0 Mio. ist dabei als Untergrenze anzusehen</w:t>
      </w:r>
    </w:p>
    <w:p w14:paraId="07CBEBE8" w14:textId="77777777" w:rsidR="000206F3" w:rsidRPr="00B67944" w:rsidRDefault="000206F3" w:rsidP="000206F3">
      <w:pPr>
        <w:pStyle w:val="Listenabsatz"/>
        <w:numPr>
          <w:ilvl w:val="0"/>
          <w:numId w:val="3"/>
        </w:numPr>
        <w:spacing w:after="160"/>
        <w:ind w:right="397"/>
        <w:rPr>
          <w:w w:val="95"/>
          <w:sz w:val="24"/>
          <w:szCs w:val="24"/>
          <w:lang w:val="de-DE"/>
        </w:rPr>
      </w:pPr>
      <w:r w:rsidRPr="005E5160">
        <w:rPr>
          <w:spacing w:val="5"/>
          <w:sz w:val="24"/>
          <w:szCs w:val="24"/>
          <w:lang w:val="de-DE"/>
        </w:rPr>
        <w:t xml:space="preserve">Grundsätzlich </w:t>
      </w:r>
      <w:r w:rsidR="00835D26">
        <w:rPr>
          <w:spacing w:val="5"/>
          <w:sz w:val="24"/>
          <w:szCs w:val="24"/>
          <w:lang w:val="de-DE"/>
        </w:rPr>
        <w:t xml:space="preserve">besteht bei Banken </w:t>
      </w:r>
      <w:r w:rsidRPr="005E5160">
        <w:rPr>
          <w:spacing w:val="5"/>
          <w:sz w:val="24"/>
          <w:szCs w:val="24"/>
          <w:lang w:val="de-DE"/>
        </w:rPr>
        <w:t xml:space="preserve">keine Akzeptanz von „Freistellungserklärungen” des Gutachters/Konzepterstellers durch </w:t>
      </w:r>
      <w:proofErr w:type="spellStart"/>
      <w:r w:rsidRPr="005E5160">
        <w:rPr>
          <w:spacing w:val="5"/>
          <w:sz w:val="24"/>
          <w:szCs w:val="24"/>
          <w:lang w:val="de-DE"/>
        </w:rPr>
        <w:lastRenderedPageBreak/>
        <w:t>Reliance</w:t>
      </w:r>
      <w:proofErr w:type="spellEnd"/>
      <w:r w:rsidRPr="005E5160">
        <w:rPr>
          <w:spacing w:val="5"/>
          <w:sz w:val="24"/>
          <w:szCs w:val="24"/>
          <w:lang w:val="de-DE"/>
        </w:rPr>
        <w:t>-Letter, Hold-</w:t>
      </w:r>
      <w:proofErr w:type="spellStart"/>
      <w:r w:rsidRPr="005E5160">
        <w:rPr>
          <w:spacing w:val="5"/>
          <w:sz w:val="24"/>
          <w:szCs w:val="24"/>
          <w:lang w:val="de-DE"/>
        </w:rPr>
        <w:t>Harmless</w:t>
      </w:r>
      <w:proofErr w:type="spellEnd"/>
      <w:r w:rsidRPr="005E5160">
        <w:rPr>
          <w:spacing w:val="5"/>
          <w:sz w:val="24"/>
          <w:szCs w:val="24"/>
          <w:lang w:val="de-DE"/>
        </w:rPr>
        <w:t>-</w:t>
      </w:r>
      <w:r w:rsidR="00A219EF">
        <w:rPr>
          <w:spacing w:val="5"/>
          <w:sz w:val="24"/>
          <w:szCs w:val="24"/>
          <w:lang w:val="de-DE"/>
        </w:rPr>
        <w:t xml:space="preserve">Letter, </w:t>
      </w:r>
      <w:proofErr w:type="spellStart"/>
      <w:r w:rsidR="00A219EF">
        <w:rPr>
          <w:spacing w:val="5"/>
          <w:sz w:val="24"/>
          <w:szCs w:val="24"/>
          <w:lang w:val="de-DE"/>
        </w:rPr>
        <w:t>Duty-of-Care­</w:t>
      </w:r>
      <w:r w:rsidRPr="005E5160">
        <w:rPr>
          <w:spacing w:val="5"/>
          <w:sz w:val="24"/>
          <w:szCs w:val="24"/>
          <w:lang w:val="de-DE"/>
        </w:rPr>
        <w:t>Letter</w:t>
      </w:r>
      <w:proofErr w:type="spellEnd"/>
      <w:r w:rsidRPr="005E5160">
        <w:rPr>
          <w:spacing w:val="5"/>
          <w:sz w:val="24"/>
          <w:szCs w:val="24"/>
          <w:lang w:val="de-DE"/>
        </w:rPr>
        <w:t xml:space="preserve"> u.a., die Anerkenntnisse oder Ausschlüsse enthalten, die die vorab beschriebenen Grundsätze einschränken; anzuerkennende Ausnahmen bilden Einschränkungen bezüglich der Vertraulichkeit, einer angemessenen Haftungsbegrenzung sowie der Hinweis auf die Nichtberücksichtigung von Ereignissen nach Fertigstellung des Sanierungsgutachtens</w:t>
      </w:r>
    </w:p>
    <w:p w14:paraId="3525CD9E" w14:textId="77777777" w:rsidR="000206F3" w:rsidRPr="00B67944" w:rsidRDefault="000206F3" w:rsidP="000206F3">
      <w:pPr>
        <w:pStyle w:val="Listenabsatz"/>
        <w:ind w:left="0" w:right="395" w:firstLine="0"/>
        <w:rPr>
          <w:w w:val="95"/>
          <w:sz w:val="24"/>
          <w:szCs w:val="24"/>
          <w:lang w:val="de-DE"/>
        </w:rPr>
      </w:pPr>
    </w:p>
    <w:p w14:paraId="064DF1EE" w14:textId="77777777" w:rsidR="000206F3" w:rsidRPr="005E5160" w:rsidRDefault="000206F3" w:rsidP="000206F3">
      <w:pPr>
        <w:pStyle w:val="Listenabsatz"/>
        <w:keepNext/>
        <w:keepLines/>
        <w:widowControl/>
        <w:spacing w:after="160"/>
        <w:ind w:left="0" w:right="397" w:firstLine="0"/>
        <w:rPr>
          <w:b/>
          <w:sz w:val="24"/>
          <w:szCs w:val="24"/>
          <w:lang w:val="de-DE"/>
        </w:rPr>
      </w:pPr>
      <w:r w:rsidRPr="005E5160">
        <w:rPr>
          <w:b/>
          <w:sz w:val="24"/>
          <w:szCs w:val="24"/>
          <w:lang w:val="de-DE"/>
        </w:rPr>
        <w:t>Zugang</w:t>
      </w:r>
    </w:p>
    <w:p w14:paraId="7746EE88" w14:textId="77777777" w:rsidR="000206F3" w:rsidRPr="005E5160" w:rsidRDefault="000206F3" w:rsidP="000206F3">
      <w:pPr>
        <w:pStyle w:val="Listenabsatz"/>
        <w:keepNext/>
        <w:keepLines/>
        <w:widowControl/>
        <w:numPr>
          <w:ilvl w:val="0"/>
          <w:numId w:val="3"/>
        </w:numPr>
        <w:ind w:left="284" w:right="397" w:hanging="284"/>
        <w:rPr>
          <w:spacing w:val="5"/>
          <w:sz w:val="24"/>
          <w:szCs w:val="24"/>
          <w:lang w:val="de-DE"/>
        </w:rPr>
      </w:pPr>
      <w:r w:rsidRPr="005E5160">
        <w:rPr>
          <w:spacing w:val="5"/>
          <w:sz w:val="24"/>
          <w:szCs w:val="24"/>
          <w:lang w:val="de-DE"/>
        </w:rPr>
        <w:t>Freier Zugang der Kreditinstitute/Finanzierer zum Sanierungsgutachten/-konzept</w:t>
      </w:r>
    </w:p>
    <w:p w14:paraId="7739C4A6" w14:textId="77777777" w:rsidR="00CC6E94" w:rsidRPr="006D47D7" w:rsidRDefault="00CC6E94" w:rsidP="00027EA1">
      <w:pPr>
        <w:pStyle w:val="Listenabsatz"/>
        <w:spacing w:line="268" w:lineRule="auto"/>
        <w:ind w:left="0" w:right="395" w:firstLine="0"/>
        <w:jc w:val="left"/>
        <w:rPr>
          <w:w w:val="95"/>
          <w:sz w:val="21"/>
          <w:lang w:val="de-DE"/>
        </w:rPr>
      </w:pPr>
    </w:p>
    <w:sectPr w:rsidR="00CC6E94" w:rsidRPr="006D47D7" w:rsidSect="008873D6">
      <w:footerReference w:type="even" r:id="rId8"/>
      <w:footerReference w:type="default" r:id="rId9"/>
      <w:endnotePr>
        <w:numFmt w:val="decimal"/>
      </w:endnotePr>
      <w:type w:val="continuous"/>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042F5" w14:textId="77777777" w:rsidR="008873D6" w:rsidRDefault="008873D6" w:rsidP="00CA584E">
      <w:r>
        <w:separator/>
      </w:r>
    </w:p>
  </w:endnote>
  <w:endnote w:type="continuationSeparator" w:id="0">
    <w:p w14:paraId="41B15F97" w14:textId="77777777" w:rsidR="008873D6" w:rsidRDefault="008873D6" w:rsidP="00CA584E">
      <w:r>
        <w:continuationSeparator/>
      </w:r>
    </w:p>
  </w:endnote>
  <w:endnote w:id="1">
    <w:p w14:paraId="31D788C1" w14:textId="77777777" w:rsidR="00CA584E" w:rsidRPr="00BE6DDA" w:rsidRDefault="00CA584E">
      <w:pPr>
        <w:pStyle w:val="Endnotentext"/>
        <w:rPr>
          <w:lang w:val="de-DE"/>
        </w:rPr>
      </w:pPr>
      <w:r>
        <w:rPr>
          <w:rStyle w:val="Endnotenzeichen"/>
        </w:rPr>
        <w:endnoteRef/>
      </w:r>
      <w:r w:rsidRPr="00BE6DDA">
        <w:rPr>
          <w:lang w:val="de-DE"/>
        </w:rPr>
        <w:t xml:space="preserve"> </w:t>
      </w:r>
      <w:r w:rsidR="00BE6DDA" w:rsidRPr="00BE6DDA">
        <w:rPr>
          <w:sz w:val="16"/>
          <w:szCs w:val="16"/>
          <w:lang w:val="de-DE"/>
        </w:rPr>
        <w:t>BGH, 12.11.1992 – IX ZR 236/91, ZIP 1993, S. 279 f.</w:t>
      </w:r>
    </w:p>
  </w:endnote>
  <w:endnote w:id="2">
    <w:p w14:paraId="34A61839" w14:textId="77777777" w:rsidR="00CA584E" w:rsidRPr="00BE6DDA" w:rsidRDefault="00CA584E">
      <w:pPr>
        <w:pStyle w:val="Endnotentext"/>
        <w:rPr>
          <w:lang w:val="de-DE"/>
        </w:rPr>
      </w:pPr>
      <w:r>
        <w:rPr>
          <w:rStyle w:val="Endnotenzeichen"/>
        </w:rPr>
        <w:endnoteRef/>
      </w:r>
      <w:r w:rsidRPr="00BE6DDA">
        <w:rPr>
          <w:lang w:val="de-DE"/>
        </w:rPr>
        <w:t xml:space="preserve"> </w:t>
      </w:r>
      <w:r w:rsidR="00BE6DDA" w:rsidRPr="00BE6DDA">
        <w:rPr>
          <w:sz w:val="16"/>
          <w:szCs w:val="16"/>
          <w:lang w:val="de-DE"/>
        </w:rPr>
        <w:t xml:space="preserve">BGH, </w:t>
      </w:r>
      <w:r w:rsidR="00BE6DDA">
        <w:rPr>
          <w:sz w:val="16"/>
          <w:szCs w:val="16"/>
          <w:lang w:val="de-DE"/>
        </w:rPr>
        <w:t>0</w:t>
      </w:r>
      <w:r w:rsidR="00BE6DDA" w:rsidRPr="00BE6DDA">
        <w:rPr>
          <w:sz w:val="16"/>
          <w:szCs w:val="16"/>
          <w:lang w:val="de-DE"/>
        </w:rPr>
        <w:t>4.12.1997 – IX ZR 47/97, ZIP 1998, S. 251 f.</w:t>
      </w:r>
    </w:p>
  </w:endnote>
  <w:endnote w:id="3">
    <w:p w14:paraId="62FC20D1" w14:textId="77777777" w:rsidR="00CA584E" w:rsidRPr="00BE6DDA" w:rsidRDefault="00CA584E">
      <w:pPr>
        <w:pStyle w:val="Endnotentext"/>
        <w:rPr>
          <w:lang w:val="de-DE"/>
        </w:rPr>
      </w:pPr>
      <w:r>
        <w:rPr>
          <w:rStyle w:val="Endnotenzeichen"/>
        </w:rPr>
        <w:endnoteRef/>
      </w:r>
      <w:r w:rsidRPr="00BE6DDA">
        <w:rPr>
          <w:lang w:val="de-DE"/>
        </w:rPr>
        <w:t xml:space="preserve"> </w:t>
      </w:r>
      <w:r w:rsidR="00BE6DDA" w:rsidRPr="00BE6DDA">
        <w:rPr>
          <w:sz w:val="16"/>
          <w:szCs w:val="16"/>
          <w:lang w:val="de-DE"/>
        </w:rPr>
        <w:t xml:space="preserve">BGH, </w:t>
      </w:r>
      <w:r w:rsidR="00BE6DDA">
        <w:rPr>
          <w:sz w:val="16"/>
          <w:szCs w:val="16"/>
          <w:lang w:val="de-DE"/>
        </w:rPr>
        <w:t>0</w:t>
      </w:r>
      <w:r w:rsidR="00BE6DDA" w:rsidRPr="00BE6DDA">
        <w:rPr>
          <w:sz w:val="16"/>
          <w:szCs w:val="16"/>
          <w:lang w:val="de-DE"/>
        </w:rPr>
        <w:t>4.12.1997 – IX ZR 47/97, ZIP 1998, S. 251 f.</w:t>
      </w:r>
    </w:p>
  </w:endnote>
  <w:endnote w:id="4">
    <w:p w14:paraId="7D83D128" w14:textId="77777777" w:rsidR="00CA584E" w:rsidRPr="00BE6DDA" w:rsidRDefault="00CA584E">
      <w:pPr>
        <w:pStyle w:val="Endnotentext"/>
        <w:rPr>
          <w:lang w:val="de-DE"/>
        </w:rPr>
      </w:pPr>
      <w:r>
        <w:rPr>
          <w:rStyle w:val="Endnotenzeichen"/>
        </w:rPr>
        <w:endnoteRef/>
      </w:r>
      <w:r w:rsidRPr="00BE6DDA">
        <w:rPr>
          <w:lang w:val="de-DE"/>
        </w:rPr>
        <w:t xml:space="preserve"> </w:t>
      </w:r>
      <w:r w:rsidR="00BE6DDA" w:rsidRPr="00BE6DDA">
        <w:rPr>
          <w:sz w:val="16"/>
          <w:szCs w:val="16"/>
          <w:lang w:val="de-DE"/>
        </w:rPr>
        <w:t xml:space="preserve">BGH, </w:t>
      </w:r>
      <w:r w:rsidR="00BE6DDA">
        <w:rPr>
          <w:sz w:val="16"/>
          <w:szCs w:val="16"/>
          <w:lang w:val="de-DE"/>
        </w:rPr>
        <w:t>0</w:t>
      </w:r>
      <w:r w:rsidR="00BE6DDA" w:rsidRPr="00BE6DDA">
        <w:rPr>
          <w:sz w:val="16"/>
          <w:szCs w:val="16"/>
          <w:lang w:val="de-DE"/>
        </w:rPr>
        <w:t>4.12.1997 – IX ZR 47/97, ZIP 1998, S. 251 f.</w:t>
      </w:r>
    </w:p>
  </w:endnote>
  <w:endnote w:id="5">
    <w:p w14:paraId="44FBE690" w14:textId="77777777" w:rsidR="00CA584E" w:rsidRPr="00BE6DDA" w:rsidRDefault="00CA584E">
      <w:pPr>
        <w:pStyle w:val="Endnotentext"/>
        <w:rPr>
          <w:lang w:val="de-DE"/>
        </w:rPr>
      </w:pPr>
      <w:r>
        <w:rPr>
          <w:rStyle w:val="Endnotenzeichen"/>
        </w:rPr>
        <w:endnoteRef/>
      </w:r>
      <w:r w:rsidRPr="00BE6DDA">
        <w:rPr>
          <w:lang w:val="de-DE"/>
        </w:rPr>
        <w:t xml:space="preserve"> </w:t>
      </w:r>
      <w:r w:rsidR="00BE6DDA" w:rsidRPr="00BE6DDA">
        <w:rPr>
          <w:sz w:val="16"/>
          <w:szCs w:val="16"/>
          <w:lang w:val="de-DE"/>
        </w:rPr>
        <w:t>BGH, 21.11.2005 – II ZR 277/03, ZIP 2005, S. 281 f.</w:t>
      </w:r>
    </w:p>
  </w:endnote>
  <w:endnote w:id="6">
    <w:p w14:paraId="0EC9060C" w14:textId="77777777" w:rsidR="00CA584E" w:rsidRPr="00BE6DDA" w:rsidRDefault="00CA584E">
      <w:pPr>
        <w:pStyle w:val="Endnotentext"/>
        <w:rPr>
          <w:lang w:val="de-DE"/>
        </w:rPr>
      </w:pPr>
      <w:r>
        <w:rPr>
          <w:rStyle w:val="Endnotenzeichen"/>
        </w:rPr>
        <w:endnoteRef/>
      </w:r>
      <w:r w:rsidRPr="00BE6DDA">
        <w:rPr>
          <w:lang w:val="de-DE"/>
        </w:rPr>
        <w:t xml:space="preserve"> </w:t>
      </w:r>
      <w:r w:rsidR="00BE6DDA" w:rsidRPr="00BE6DDA">
        <w:rPr>
          <w:sz w:val="16"/>
          <w:szCs w:val="16"/>
          <w:lang w:val="de-DE"/>
        </w:rPr>
        <w:t>BGH, 12.11.1992 – IX ZR 236/91, ZIP 1993, S. 279 f.</w:t>
      </w:r>
    </w:p>
  </w:endnote>
  <w:endnote w:id="7">
    <w:p w14:paraId="50F9A4C5" w14:textId="5E91BF5E" w:rsidR="00CA584E" w:rsidRPr="00BE6DDA" w:rsidRDefault="00CA584E">
      <w:pPr>
        <w:pStyle w:val="Endnotentext"/>
        <w:rPr>
          <w:lang w:val="de-DE"/>
        </w:rPr>
      </w:pPr>
      <w:r>
        <w:rPr>
          <w:rStyle w:val="Endnotenzeichen"/>
        </w:rPr>
        <w:endnoteRef/>
      </w:r>
      <w:r w:rsidRPr="00BE6DDA">
        <w:rPr>
          <w:lang w:val="de-DE"/>
        </w:rPr>
        <w:t xml:space="preserve"> </w:t>
      </w:r>
      <w:r w:rsidR="00423021" w:rsidRPr="00423021">
        <w:rPr>
          <w:sz w:val="16"/>
          <w:szCs w:val="16"/>
          <w:lang w:val="de-DE"/>
        </w:rPr>
        <w:t>IDW S 6 (2018), Anforderungen an die Erstellung von Sanierungskonzepten, Stand 16.05.2018</w:t>
      </w:r>
      <w:r w:rsidR="00490273">
        <w:rPr>
          <w:sz w:val="16"/>
          <w:szCs w:val="16"/>
          <w:lang w:val="de-DE"/>
        </w:rPr>
        <w:t xml:space="preserve"> in </w:t>
      </w:r>
      <w:r w:rsidR="00490273">
        <w:rPr>
          <w:sz w:val="16"/>
          <w:szCs w:val="16"/>
          <w:lang w:val="de-DE"/>
        </w:rPr>
        <w:t>IDWLife, 08.2018</w:t>
      </w:r>
      <w:r w:rsidR="00423021">
        <w:rPr>
          <w:sz w:val="16"/>
          <w:szCs w:val="16"/>
          <w:lang w:val="de-DE"/>
        </w:rPr>
        <w:t>, Tz.</w:t>
      </w:r>
      <w:r w:rsidR="00423021" w:rsidRPr="00423021">
        <w:rPr>
          <w:sz w:val="16"/>
          <w:szCs w:val="16"/>
          <w:lang w:val="de-DE"/>
        </w:rPr>
        <w:t xml:space="preserve"> </w:t>
      </w:r>
      <w:r w:rsidR="00423021">
        <w:rPr>
          <w:sz w:val="16"/>
          <w:szCs w:val="16"/>
          <w:lang w:val="de-DE"/>
        </w:rPr>
        <w:t>95</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C1148" w14:textId="77777777" w:rsidR="00A55B09" w:rsidRDefault="00A55B09" w:rsidP="009D4446">
    <w:pPr>
      <w:pStyle w:val="Fuzeile"/>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BB243B3" w14:textId="77777777" w:rsidR="00A55B09" w:rsidRDefault="00A55B09" w:rsidP="00A55B0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FB653" w14:textId="77777777" w:rsidR="00A55B09" w:rsidRPr="00423021" w:rsidRDefault="00A55B09" w:rsidP="009D4446">
    <w:pPr>
      <w:pStyle w:val="Fuzeile"/>
      <w:framePr w:wrap="none" w:vAnchor="text" w:hAnchor="margin" w:xAlign="right" w:y="1"/>
      <w:rPr>
        <w:rStyle w:val="Seitenzahl"/>
        <w:lang w:val="de-DE"/>
      </w:rPr>
    </w:pPr>
    <w:r>
      <w:rPr>
        <w:rStyle w:val="Seitenzahl"/>
      </w:rPr>
      <w:fldChar w:fldCharType="begin"/>
    </w:r>
    <w:r w:rsidRPr="00423021">
      <w:rPr>
        <w:rStyle w:val="Seitenzahl"/>
        <w:lang w:val="de-DE"/>
      </w:rPr>
      <w:instrText xml:space="preserve">PAGE  </w:instrText>
    </w:r>
    <w:r>
      <w:rPr>
        <w:rStyle w:val="Seitenzahl"/>
      </w:rPr>
      <w:fldChar w:fldCharType="separate"/>
    </w:r>
    <w:r w:rsidRPr="00423021">
      <w:rPr>
        <w:rStyle w:val="Seitenzahl"/>
        <w:noProof/>
        <w:lang w:val="de-DE"/>
      </w:rPr>
      <w:t>2</w:t>
    </w:r>
    <w:r>
      <w:rPr>
        <w:rStyle w:val="Seitenzahl"/>
      </w:rPr>
      <w:fldChar w:fldCharType="end"/>
    </w:r>
  </w:p>
  <w:p w14:paraId="5F77F1F7" w14:textId="336411A8" w:rsidR="00A55B09" w:rsidRPr="00A55B09" w:rsidRDefault="00A55B09" w:rsidP="00A55B09">
    <w:pPr>
      <w:pStyle w:val="KeinLeerraum"/>
      <w:spacing w:before="240"/>
      <w:ind w:right="360"/>
      <w:rPr>
        <w:color w:val="1F497D" w:themeColor="text2"/>
        <w:spacing w:val="10"/>
        <w:sz w:val="30"/>
        <w:szCs w:val="30"/>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1A8FB" w14:textId="77777777" w:rsidR="008873D6" w:rsidRDefault="008873D6" w:rsidP="00CA584E">
      <w:r>
        <w:separator/>
      </w:r>
    </w:p>
  </w:footnote>
  <w:footnote w:type="continuationSeparator" w:id="0">
    <w:p w14:paraId="15DB9A7C" w14:textId="77777777" w:rsidR="008873D6" w:rsidRDefault="008873D6" w:rsidP="00CA5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330D74"/>
    <w:multiLevelType w:val="hybridMultilevel"/>
    <w:tmpl w:val="04742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4E2292"/>
    <w:multiLevelType w:val="hybridMultilevel"/>
    <w:tmpl w:val="E35CDD44"/>
    <w:lvl w:ilvl="0" w:tplc="04070001">
      <w:start w:val="1"/>
      <w:numFmt w:val="bullet"/>
      <w:lvlText w:val=""/>
      <w:lvlJc w:val="left"/>
      <w:pPr>
        <w:ind w:left="1389" w:hanging="360"/>
      </w:pPr>
      <w:rPr>
        <w:rFonts w:ascii="Symbol" w:hAnsi="Symbol" w:hint="default"/>
      </w:rPr>
    </w:lvl>
    <w:lvl w:ilvl="1" w:tplc="04070003" w:tentative="1">
      <w:start w:val="1"/>
      <w:numFmt w:val="bullet"/>
      <w:lvlText w:val="o"/>
      <w:lvlJc w:val="left"/>
      <w:pPr>
        <w:ind w:left="2109" w:hanging="360"/>
      </w:pPr>
      <w:rPr>
        <w:rFonts w:ascii="Courier New" w:hAnsi="Courier New" w:hint="default"/>
      </w:rPr>
    </w:lvl>
    <w:lvl w:ilvl="2" w:tplc="04070005" w:tentative="1">
      <w:start w:val="1"/>
      <w:numFmt w:val="bullet"/>
      <w:lvlText w:val=""/>
      <w:lvlJc w:val="left"/>
      <w:pPr>
        <w:ind w:left="2829" w:hanging="360"/>
      </w:pPr>
      <w:rPr>
        <w:rFonts w:ascii="Wingdings" w:hAnsi="Wingdings" w:hint="default"/>
      </w:rPr>
    </w:lvl>
    <w:lvl w:ilvl="3" w:tplc="04070001" w:tentative="1">
      <w:start w:val="1"/>
      <w:numFmt w:val="bullet"/>
      <w:lvlText w:val=""/>
      <w:lvlJc w:val="left"/>
      <w:pPr>
        <w:ind w:left="3549" w:hanging="360"/>
      </w:pPr>
      <w:rPr>
        <w:rFonts w:ascii="Symbol" w:hAnsi="Symbol" w:hint="default"/>
      </w:rPr>
    </w:lvl>
    <w:lvl w:ilvl="4" w:tplc="04070003" w:tentative="1">
      <w:start w:val="1"/>
      <w:numFmt w:val="bullet"/>
      <w:lvlText w:val="o"/>
      <w:lvlJc w:val="left"/>
      <w:pPr>
        <w:ind w:left="4269" w:hanging="360"/>
      </w:pPr>
      <w:rPr>
        <w:rFonts w:ascii="Courier New" w:hAnsi="Courier New" w:hint="default"/>
      </w:rPr>
    </w:lvl>
    <w:lvl w:ilvl="5" w:tplc="04070005" w:tentative="1">
      <w:start w:val="1"/>
      <w:numFmt w:val="bullet"/>
      <w:lvlText w:val=""/>
      <w:lvlJc w:val="left"/>
      <w:pPr>
        <w:ind w:left="4989" w:hanging="360"/>
      </w:pPr>
      <w:rPr>
        <w:rFonts w:ascii="Wingdings" w:hAnsi="Wingdings" w:hint="default"/>
      </w:rPr>
    </w:lvl>
    <w:lvl w:ilvl="6" w:tplc="04070001" w:tentative="1">
      <w:start w:val="1"/>
      <w:numFmt w:val="bullet"/>
      <w:lvlText w:val=""/>
      <w:lvlJc w:val="left"/>
      <w:pPr>
        <w:ind w:left="5709" w:hanging="360"/>
      </w:pPr>
      <w:rPr>
        <w:rFonts w:ascii="Symbol" w:hAnsi="Symbol" w:hint="default"/>
      </w:rPr>
    </w:lvl>
    <w:lvl w:ilvl="7" w:tplc="04070003" w:tentative="1">
      <w:start w:val="1"/>
      <w:numFmt w:val="bullet"/>
      <w:lvlText w:val="o"/>
      <w:lvlJc w:val="left"/>
      <w:pPr>
        <w:ind w:left="6429" w:hanging="360"/>
      </w:pPr>
      <w:rPr>
        <w:rFonts w:ascii="Courier New" w:hAnsi="Courier New" w:hint="default"/>
      </w:rPr>
    </w:lvl>
    <w:lvl w:ilvl="8" w:tplc="04070005" w:tentative="1">
      <w:start w:val="1"/>
      <w:numFmt w:val="bullet"/>
      <w:lvlText w:val=""/>
      <w:lvlJc w:val="left"/>
      <w:pPr>
        <w:ind w:left="7149" w:hanging="360"/>
      </w:pPr>
      <w:rPr>
        <w:rFonts w:ascii="Wingdings" w:hAnsi="Wingdings" w:hint="default"/>
      </w:rPr>
    </w:lvl>
  </w:abstractNum>
  <w:abstractNum w:abstractNumId="2" w15:restartNumberingAfterBreak="0">
    <w:nsid w:val="463E73BD"/>
    <w:multiLevelType w:val="hybridMultilevel"/>
    <w:tmpl w:val="E7E6FC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017E93"/>
    <w:multiLevelType w:val="hybridMultilevel"/>
    <w:tmpl w:val="CBA05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831FD5"/>
    <w:multiLevelType w:val="hybridMultilevel"/>
    <w:tmpl w:val="A6F8F8BA"/>
    <w:lvl w:ilvl="0" w:tplc="9EC44410">
      <w:start w:val="3"/>
      <w:numFmt w:val="decimal"/>
      <w:lvlText w:val="%1."/>
      <w:lvlJc w:val="left"/>
      <w:pPr>
        <w:ind w:left="489" w:hanging="363"/>
        <w:jc w:val="left"/>
      </w:pPr>
      <w:rPr>
        <w:rFonts w:ascii="Arial" w:eastAsia="Arial" w:hAnsi="Arial" w:cs="Arial" w:hint="default"/>
        <w:w w:val="96"/>
        <w:sz w:val="20"/>
        <w:szCs w:val="20"/>
      </w:rPr>
    </w:lvl>
    <w:lvl w:ilvl="1" w:tplc="73D41750">
      <w:start w:val="1"/>
      <w:numFmt w:val="lowerLetter"/>
      <w:lvlText w:val="%2)"/>
      <w:lvlJc w:val="left"/>
      <w:pPr>
        <w:ind w:left="826" w:hanging="359"/>
        <w:jc w:val="left"/>
      </w:pPr>
      <w:rPr>
        <w:rFonts w:ascii="Arial" w:eastAsia="Arial" w:hAnsi="Arial" w:cs="Arial" w:hint="default"/>
        <w:i/>
        <w:w w:val="102"/>
        <w:sz w:val="20"/>
        <w:szCs w:val="20"/>
      </w:rPr>
    </w:lvl>
    <w:lvl w:ilvl="2" w:tplc="AE72DA52">
      <w:start w:val="1"/>
      <w:numFmt w:val="bullet"/>
      <w:lvlText w:val="•"/>
      <w:lvlJc w:val="left"/>
      <w:pPr>
        <w:ind w:left="1760" w:hanging="359"/>
      </w:pPr>
      <w:rPr>
        <w:rFonts w:hint="default"/>
      </w:rPr>
    </w:lvl>
    <w:lvl w:ilvl="3" w:tplc="3294A71E">
      <w:start w:val="1"/>
      <w:numFmt w:val="bullet"/>
      <w:lvlText w:val="•"/>
      <w:lvlJc w:val="left"/>
      <w:pPr>
        <w:ind w:left="2700" w:hanging="359"/>
      </w:pPr>
      <w:rPr>
        <w:rFonts w:hint="default"/>
      </w:rPr>
    </w:lvl>
    <w:lvl w:ilvl="4" w:tplc="B2829BC2">
      <w:start w:val="1"/>
      <w:numFmt w:val="bullet"/>
      <w:lvlText w:val="•"/>
      <w:lvlJc w:val="left"/>
      <w:pPr>
        <w:ind w:left="3640" w:hanging="359"/>
      </w:pPr>
      <w:rPr>
        <w:rFonts w:hint="default"/>
      </w:rPr>
    </w:lvl>
    <w:lvl w:ilvl="5" w:tplc="E8443628">
      <w:start w:val="1"/>
      <w:numFmt w:val="bullet"/>
      <w:lvlText w:val="•"/>
      <w:lvlJc w:val="left"/>
      <w:pPr>
        <w:ind w:left="4580" w:hanging="359"/>
      </w:pPr>
      <w:rPr>
        <w:rFonts w:hint="default"/>
      </w:rPr>
    </w:lvl>
    <w:lvl w:ilvl="6" w:tplc="EE827D08">
      <w:start w:val="1"/>
      <w:numFmt w:val="bullet"/>
      <w:lvlText w:val="•"/>
      <w:lvlJc w:val="left"/>
      <w:pPr>
        <w:ind w:left="5520" w:hanging="359"/>
      </w:pPr>
      <w:rPr>
        <w:rFonts w:hint="default"/>
      </w:rPr>
    </w:lvl>
    <w:lvl w:ilvl="7" w:tplc="11F64A88">
      <w:start w:val="1"/>
      <w:numFmt w:val="bullet"/>
      <w:lvlText w:val="•"/>
      <w:lvlJc w:val="left"/>
      <w:pPr>
        <w:ind w:left="6460" w:hanging="359"/>
      </w:pPr>
      <w:rPr>
        <w:rFonts w:hint="default"/>
      </w:rPr>
    </w:lvl>
    <w:lvl w:ilvl="8" w:tplc="9754198A">
      <w:start w:val="1"/>
      <w:numFmt w:val="bullet"/>
      <w:lvlText w:val="•"/>
      <w:lvlJc w:val="left"/>
      <w:pPr>
        <w:ind w:left="7400" w:hanging="359"/>
      </w:pPr>
      <w:rPr>
        <w:rFonts w:hint="default"/>
      </w:rPr>
    </w:lvl>
  </w:abstractNum>
  <w:abstractNum w:abstractNumId="5" w15:restartNumberingAfterBreak="0">
    <w:nsid w:val="79A45DDA"/>
    <w:multiLevelType w:val="hybridMultilevel"/>
    <w:tmpl w:val="6E38D2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0244467">
    <w:abstractNumId w:val="4"/>
  </w:num>
  <w:num w:numId="2" w16cid:durableId="684748411">
    <w:abstractNumId w:val="1"/>
  </w:num>
  <w:num w:numId="3" w16cid:durableId="2024354698">
    <w:abstractNumId w:val="0"/>
  </w:num>
  <w:num w:numId="4" w16cid:durableId="1032416847">
    <w:abstractNumId w:val="3"/>
  </w:num>
  <w:num w:numId="5" w16cid:durableId="1595702656">
    <w:abstractNumId w:val="5"/>
  </w:num>
  <w:num w:numId="6" w16cid:durableId="534007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EA1"/>
    <w:rsid w:val="000033B0"/>
    <w:rsid w:val="000206F3"/>
    <w:rsid w:val="00027EA1"/>
    <w:rsid w:val="0021409E"/>
    <w:rsid w:val="002549FC"/>
    <w:rsid w:val="0026402B"/>
    <w:rsid w:val="0028082A"/>
    <w:rsid w:val="002C0040"/>
    <w:rsid w:val="004219AF"/>
    <w:rsid w:val="00423021"/>
    <w:rsid w:val="004274B3"/>
    <w:rsid w:val="00490273"/>
    <w:rsid w:val="00585839"/>
    <w:rsid w:val="006D47D7"/>
    <w:rsid w:val="00741CBC"/>
    <w:rsid w:val="00835D26"/>
    <w:rsid w:val="008873D6"/>
    <w:rsid w:val="00A219EF"/>
    <w:rsid w:val="00A55B09"/>
    <w:rsid w:val="00AB3DD6"/>
    <w:rsid w:val="00B114DC"/>
    <w:rsid w:val="00BA19B0"/>
    <w:rsid w:val="00BA652D"/>
    <w:rsid w:val="00BE6DDA"/>
    <w:rsid w:val="00C10D2F"/>
    <w:rsid w:val="00CA584E"/>
    <w:rsid w:val="00CC6E94"/>
    <w:rsid w:val="00F60997"/>
    <w:rsid w:val="00FD655A"/>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2CE83F"/>
  <w15:docId w15:val="{42D47D17-665B-4C0B-8B2F-64549202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uiPriority w:val="1"/>
    <w:qFormat/>
    <w:rsid w:val="00027EA1"/>
    <w:pPr>
      <w:widowControl w:val="0"/>
    </w:pPr>
    <w:rPr>
      <w:rFonts w:ascii="Arial" w:eastAsia="Arial" w:hAnsi="Arial" w:cs="Arial"/>
      <w:sz w:val="22"/>
      <w:szCs w:val="22"/>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027EA1"/>
    <w:rPr>
      <w:sz w:val="20"/>
      <w:szCs w:val="20"/>
    </w:rPr>
  </w:style>
  <w:style w:type="character" w:customStyle="1" w:styleId="TextkrperZchn">
    <w:name w:val="Textkörper Zchn"/>
    <w:basedOn w:val="Absatz-Standardschriftart"/>
    <w:link w:val="Textkrper"/>
    <w:uiPriority w:val="1"/>
    <w:rsid w:val="00027EA1"/>
    <w:rPr>
      <w:rFonts w:ascii="Arial" w:eastAsia="Arial" w:hAnsi="Arial" w:cs="Arial"/>
      <w:sz w:val="20"/>
      <w:szCs w:val="20"/>
      <w:lang w:val="en-US" w:eastAsia="en-US"/>
    </w:rPr>
  </w:style>
  <w:style w:type="paragraph" w:styleId="Listenabsatz">
    <w:name w:val="List Paragraph"/>
    <w:basedOn w:val="Standard"/>
    <w:uiPriority w:val="1"/>
    <w:qFormat/>
    <w:rsid w:val="00027EA1"/>
    <w:pPr>
      <w:ind w:left="475" w:hanging="333"/>
      <w:jc w:val="both"/>
    </w:pPr>
  </w:style>
  <w:style w:type="paragraph" w:styleId="Sprechblasentext">
    <w:name w:val="Balloon Text"/>
    <w:basedOn w:val="Standard"/>
    <w:link w:val="SprechblasentextZchn"/>
    <w:uiPriority w:val="99"/>
    <w:semiHidden/>
    <w:unhideWhenUsed/>
    <w:rsid w:val="0058583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5839"/>
    <w:rPr>
      <w:rFonts w:ascii="Segoe UI" w:eastAsia="Arial" w:hAnsi="Segoe UI" w:cs="Segoe UI"/>
      <w:sz w:val="18"/>
      <w:szCs w:val="18"/>
      <w:lang w:val="en-US" w:eastAsia="en-US"/>
    </w:rPr>
  </w:style>
  <w:style w:type="paragraph" w:styleId="Endnotentext">
    <w:name w:val="endnote text"/>
    <w:basedOn w:val="Standard"/>
    <w:link w:val="EndnotentextZchn"/>
    <w:uiPriority w:val="99"/>
    <w:semiHidden/>
    <w:unhideWhenUsed/>
    <w:rsid w:val="00CA584E"/>
    <w:rPr>
      <w:sz w:val="20"/>
      <w:szCs w:val="20"/>
    </w:rPr>
  </w:style>
  <w:style w:type="character" w:customStyle="1" w:styleId="EndnotentextZchn">
    <w:name w:val="Endnotentext Zchn"/>
    <w:basedOn w:val="Absatz-Standardschriftart"/>
    <w:link w:val="Endnotentext"/>
    <w:uiPriority w:val="99"/>
    <w:semiHidden/>
    <w:rsid w:val="00CA584E"/>
    <w:rPr>
      <w:rFonts w:ascii="Arial" w:eastAsia="Arial" w:hAnsi="Arial" w:cs="Arial"/>
      <w:sz w:val="20"/>
      <w:szCs w:val="20"/>
      <w:lang w:val="en-US" w:eastAsia="en-US"/>
    </w:rPr>
  </w:style>
  <w:style w:type="character" w:styleId="Endnotenzeichen">
    <w:name w:val="endnote reference"/>
    <w:basedOn w:val="Absatz-Standardschriftart"/>
    <w:uiPriority w:val="99"/>
    <w:semiHidden/>
    <w:unhideWhenUsed/>
    <w:rsid w:val="00CA584E"/>
    <w:rPr>
      <w:vertAlign w:val="superscript"/>
    </w:rPr>
  </w:style>
  <w:style w:type="paragraph" w:styleId="Kopfzeile">
    <w:name w:val="header"/>
    <w:basedOn w:val="Standard"/>
    <w:link w:val="KopfzeileZchn"/>
    <w:uiPriority w:val="99"/>
    <w:unhideWhenUsed/>
    <w:rsid w:val="00A55B09"/>
    <w:pPr>
      <w:tabs>
        <w:tab w:val="center" w:pos="4536"/>
        <w:tab w:val="right" w:pos="9072"/>
      </w:tabs>
    </w:pPr>
  </w:style>
  <w:style w:type="character" w:customStyle="1" w:styleId="KopfzeileZchn">
    <w:name w:val="Kopfzeile Zchn"/>
    <w:basedOn w:val="Absatz-Standardschriftart"/>
    <w:link w:val="Kopfzeile"/>
    <w:uiPriority w:val="99"/>
    <w:rsid w:val="00A55B09"/>
    <w:rPr>
      <w:rFonts w:ascii="Arial" w:eastAsia="Arial" w:hAnsi="Arial" w:cs="Arial"/>
      <w:sz w:val="22"/>
      <w:szCs w:val="22"/>
      <w:lang w:val="en-US" w:eastAsia="en-US"/>
    </w:rPr>
  </w:style>
  <w:style w:type="paragraph" w:styleId="Fuzeile">
    <w:name w:val="footer"/>
    <w:basedOn w:val="Standard"/>
    <w:link w:val="FuzeileZchn"/>
    <w:uiPriority w:val="99"/>
    <w:unhideWhenUsed/>
    <w:rsid w:val="00A55B09"/>
    <w:pPr>
      <w:tabs>
        <w:tab w:val="center" w:pos="4536"/>
        <w:tab w:val="right" w:pos="9072"/>
      </w:tabs>
    </w:pPr>
  </w:style>
  <w:style w:type="character" w:customStyle="1" w:styleId="FuzeileZchn">
    <w:name w:val="Fußzeile Zchn"/>
    <w:basedOn w:val="Absatz-Standardschriftart"/>
    <w:link w:val="Fuzeile"/>
    <w:uiPriority w:val="99"/>
    <w:rsid w:val="00A55B09"/>
    <w:rPr>
      <w:rFonts w:ascii="Arial" w:eastAsia="Arial" w:hAnsi="Arial" w:cs="Arial"/>
      <w:sz w:val="22"/>
      <w:szCs w:val="22"/>
      <w:lang w:val="en-US" w:eastAsia="en-US"/>
    </w:rPr>
  </w:style>
  <w:style w:type="paragraph" w:styleId="KeinLeerraum">
    <w:name w:val="No Spacing"/>
    <w:uiPriority w:val="1"/>
    <w:qFormat/>
    <w:rsid w:val="00A55B09"/>
    <w:rPr>
      <w:sz w:val="22"/>
      <w:szCs w:val="22"/>
      <w:lang w:val="en-US" w:eastAsia="zh-CN"/>
    </w:rPr>
  </w:style>
  <w:style w:type="character" w:styleId="Seitenzahl">
    <w:name w:val="page number"/>
    <w:basedOn w:val="Absatz-Standardschriftart"/>
    <w:uiPriority w:val="99"/>
    <w:semiHidden/>
    <w:unhideWhenUsed/>
    <w:rsid w:val="00A55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A103A-9A85-0542-89D7-CEF02F72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4115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Steuerbüro</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Crone</dc:creator>
  <cp:keywords/>
  <dc:description/>
  <cp:lastModifiedBy>Henning Werner</cp:lastModifiedBy>
  <cp:revision>2</cp:revision>
  <cp:lastPrinted>2016-09-20T07:17:00Z</cp:lastPrinted>
  <dcterms:created xsi:type="dcterms:W3CDTF">2024-03-12T07:53:00Z</dcterms:created>
  <dcterms:modified xsi:type="dcterms:W3CDTF">2024-03-12T07:53:00Z</dcterms:modified>
</cp:coreProperties>
</file>